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附件2</w:t>
      </w:r>
    </w:p>
    <w:p>
      <w:pPr>
        <w:keepNext w:val="0"/>
        <w:keepLines w:val="0"/>
        <w:pageBreakBefore w:val="0"/>
        <w:widowControl w:val="0"/>
        <w:kinsoku/>
        <w:wordWrap/>
        <w:overflowPunct/>
        <w:topLinePunct w:val="0"/>
        <w:autoSpaceDE/>
        <w:autoSpaceDN/>
        <w:bidi w:val="0"/>
        <w:adjustRightInd/>
        <w:snapToGrid/>
        <w:spacing w:line="576" w:lineRule="exact"/>
        <w:ind w:firstLine="72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202</w:t>
      </w:r>
      <w:r>
        <w:rPr>
          <w:rFonts w:hint="eastAsia" w:ascii="方正小标宋简体" w:hAnsi="方正小标宋简体" w:eastAsia="方正小标宋简体" w:cs="方正小标宋简体"/>
          <w:color w:val="000000"/>
          <w:sz w:val="44"/>
          <w:szCs w:val="44"/>
          <w:lang w:val="en-US" w:eastAsia="zh-CN"/>
        </w:rPr>
        <w:t>3</w:t>
      </w:r>
      <w:r>
        <w:rPr>
          <w:rFonts w:hint="eastAsia" w:ascii="方正小标宋简体" w:hAnsi="方正小标宋简体" w:eastAsia="方正小标宋简体" w:cs="方正小标宋简体"/>
          <w:color w:val="000000"/>
          <w:sz w:val="44"/>
          <w:szCs w:val="44"/>
        </w:rPr>
        <w:t>年青海省普通高考网上填报志愿</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color w:val="000000"/>
          <w:sz w:val="32"/>
          <w:szCs w:val="32"/>
        </w:rPr>
      </w:pPr>
      <w:bookmarkStart w:id="0" w:name="_GoBack"/>
      <w:bookmarkEnd w:id="0"/>
      <w:r>
        <w:rPr>
          <w:rFonts w:hint="eastAsia" w:ascii="方正小标宋简体" w:hAnsi="方正小标宋简体" w:eastAsia="方正小标宋简体" w:cs="方正小标宋简体"/>
          <w:color w:val="000000"/>
          <w:sz w:val="44"/>
          <w:szCs w:val="44"/>
        </w:rPr>
        <w:t>服务点设置和管理要求</w:t>
      </w:r>
    </w:p>
    <w:p>
      <w:pPr>
        <w:keepNext w:val="0"/>
        <w:keepLines w:val="0"/>
        <w:pageBreakBefore w:val="0"/>
        <w:widowControl w:val="0"/>
        <w:kinsoku/>
        <w:wordWrap/>
        <w:overflowPunct/>
        <w:topLinePunct w:val="0"/>
        <w:autoSpaceDE/>
        <w:autoSpaceDN/>
        <w:bidi w:val="0"/>
        <w:adjustRightInd/>
        <w:snapToGrid/>
        <w:spacing w:line="576" w:lineRule="exact"/>
        <w:ind w:firstLine="640"/>
        <w:jc w:val="center"/>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一、设置范围</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了确保志愿填报期间没有上网条件的考生能够及时进行网上填报志愿，对于高考网上志愿填报服务点原则上各县（市、区、行委）必须至少设置1个（包括未设高考考区的县、行委），多设不限，服务点场地、电脑设施数量等规模条件根据当地考生数量等情况自定。可设置在中小学校，也可设置在当地教育部门的电教站。</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二、设置时限</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地要于6月25日前，完成网上志愿填报服务点的设置工作，并采取适当方式告知辖区所有考生。同时，将设置情况报送省招办，省招办在青海省教育考试网上统一对外公布全省普通高考网上志愿填报服务点信息，包括服务点名称、详细地址、开放时间等内容。全省网上志愿填报服务点对外开放时间为6月28日至8月25日（全省高考招生录取工作结束），遇特殊情况需顺延另行通知。</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三、设置条件</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网上填报志愿服务点要能够满足当地考生填报志愿的基本需要，设置地点要交通相对便利，具备以下设施条件：</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配备足够数量的电脑，并装有符合网上填报志愿所需的操作系统；</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配备有打印机、打印纸，以供考生打印高考志愿草表等使用；</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环境较为安静，网络通畅，电力供应稳定，安装有视频监控录像系统；</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在志愿填报服务点大门，悬挂“</w:t>
      </w:r>
      <w:r>
        <w:rPr>
          <w:rFonts w:hint="eastAsia" w:ascii="仿宋_GB2312" w:hAnsi="仿宋_GB2312" w:eastAsia="仿宋_GB2312" w:cs="仿宋_GB2312"/>
          <w:color w:val="000000"/>
          <w:sz w:val="32"/>
          <w:szCs w:val="32"/>
          <w:lang w:val="en-US" w:eastAsia="zh-CN"/>
        </w:rPr>
        <w:t>2023</w:t>
      </w:r>
      <w:r>
        <w:rPr>
          <w:rFonts w:hint="eastAsia" w:ascii="仿宋_GB2312" w:hAnsi="仿宋_GB2312" w:eastAsia="仿宋_GB2312" w:cs="仿宋_GB2312"/>
          <w:color w:val="000000"/>
          <w:sz w:val="32"/>
          <w:szCs w:val="32"/>
        </w:rPr>
        <w:t xml:space="preserve">年青海省普通高考网上志愿填报服务点”横幅，在醒目位置张贴志愿填报服务点开放时间、管理办法、全省首次集中网上填报志愿时间等温馨提示。 </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四、管理要求</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（一）各地设置和管理网上志愿填报服务点工作在当地招委会的领导下，由教育行政部门负责组织实施。</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为了保障志愿填报服务点的安全有序运行，每个服务点应配备1名负责人，1名以上管理人员，1名技术保障人员，并明确岗位职责。管理和技术保障人员，要求思想政治素质好，工作责任心强，能够坚守工作岗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（三）志愿填报服务点仅为考生提供上网填报志愿条件，不负有为考生填报志愿进行具体指导的职责，也不得为任何个人、招生中介等收集考生志愿信息提供便利，不得收取考生任何费用。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（四）志愿填报服务点所需经费及相关开支由当地教育行政部门负责安排解决。</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Ansi="仿宋"/>
          <w:color w:val="000000"/>
          <w:szCs w:val="32"/>
        </w:rPr>
      </w:pPr>
      <w:r>
        <w:rPr>
          <w:rFonts w:hint="eastAsia" w:ascii="仿宋_GB2312" w:hAnsi="仿宋_GB2312" w:eastAsia="仿宋_GB2312" w:cs="仿宋_GB2312"/>
          <w:color w:val="000000"/>
          <w:sz w:val="32"/>
          <w:szCs w:val="32"/>
        </w:rPr>
        <w:t>（五）考生凭准考证进入服务点，严禁其他无关人员进入。</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rPr>
      </w:pPr>
      <w:r>
        <w:rPr>
          <w:rFonts w:hAnsi="仿宋"/>
          <w:color w:val="000000"/>
          <w:szCs w:val="32"/>
        </w:rPr>
        <w:br w:type="page"/>
      </w:r>
      <w:r>
        <w:rPr>
          <w:rFonts w:hint="eastAsia" w:ascii="方正小标宋简体" w:hAnsi="方正小标宋简体" w:eastAsia="方正小标宋简体" w:cs="方正小标宋简体"/>
          <w:color w:val="000000"/>
          <w:sz w:val="44"/>
          <w:szCs w:val="44"/>
        </w:rPr>
        <w:t>202</w:t>
      </w:r>
      <w:r>
        <w:rPr>
          <w:rFonts w:hint="eastAsia" w:ascii="方正小标宋简体" w:hAnsi="方正小标宋简体" w:eastAsia="方正小标宋简体" w:cs="方正小标宋简体"/>
          <w:color w:val="000000"/>
          <w:sz w:val="44"/>
          <w:szCs w:val="44"/>
          <w:lang w:val="en-US" w:eastAsia="zh-CN"/>
        </w:rPr>
        <w:t>3</w:t>
      </w:r>
      <w:r>
        <w:rPr>
          <w:rFonts w:hint="eastAsia" w:ascii="方正小标宋简体" w:hAnsi="方正小标宋简体" w:eastAsia="方正小标宋简体" w:cs="方正小标宋简体"/>
          <w:color w:val="000000"/>
          <w:sz w:val="44"/>
          <w:szCs w:val="44"/>
        </w:rPr>
        <w:t>年青海省普通高考</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网上填报志愿服务点设置情况报告表</w:t>
      </w:r>
    </w:p>
    <w:p>
      <w:pPr>
        <w:bidi w:val="0"/>
        <w:rPr>
          <w:rFonts w:hint="eastAsia"/>
        </w:rPr>
      </w:pPr>
    </w:p>
    <w:tbl>
      <w:tblPr>
        <w:tblStyle w:val="4"/>
        <w:tblW w:w="8580" w:type="dxa"/>
        <w:tblInd w:w="213"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1793"/>
        <w:gridCol w:w="1838"/>
        <w:gridCol w:w="4949"/>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1243" w:hRule="atLeast"/>
        </w:trPr>
        <w:tc>
          <w:tcPr>
            <w:tcW w:w="1793" w:type="dxa"/>
            <w:tcBorders>
              <w:top w:val="single" w:color="auto" w:sz="8" w:space="0"/>
              <w:bottom w:val="single" w:color="auto" w:sz="8" w:space="0"/>
            </w:tcBorders>
            <w:noWrap w:val="0"/>
            <w:vAlign w:val="center"/>
          </w:tcPr>
          <w:p>
            <w:pPr>
              <w:spacing w:line="572"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考区名称：</w:t>
            </w:r>
          </w:p>
        </w:tc>
        <w:tc>
          <w:tcPr>
            <w:tcW w:w="6787" w:type="dxa"/>
            <w:gridSpan w:val="2"/>
            <w:noWrap w:val="0"/>
            <w:vAlign w:val="center"/>
          </w:tcPr>
          <w:p>
            <w:pPr>
              <w:spacing w:line="572" w:lineRule="exact"/>
              <w:ind w:firstLine="640"/>
              <w:jc w:val="center"/>
              <w:rPr>
                <w:rFonts w:hint="eastAsia" w:ascii="仿宋_GB2312" w:hAnsi="仿宋_GB2312" w:eastAsia="仿宋_GB2312" w:cs="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684" w:hRule="atLeast"/>
        </w:trPr>
        <w:tc>
          <w:tcPr>
            <w:tcW w:w="1793" w:type="dxa"/>
            <w:vMerge w:val="restart"/>
            <w:tcBorders>
              <w:top w:val="single" w:color="auto" w:sz="8" w:space="0"/>
            </w:tcBorders>
            <w:noWrap w:val="0"/>
            <w:vAlign w:val="center"/>
          </w:tcPr>
          <w:p>
            <w:pPr>
              <w:spacing w:line="572"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高考网上志愿填报服务点设置</w:t>
            </w:r>
            <w:r>
              <w:rPr>
                <w:rFonts w:hint="eastAsia" w:ascii="仿宋_GB2312" w:hAnsi="仿宋_GB2312" w:eastAsia="仿宋_GB2312" w:cs="仿宋_GB2312"/>
                <w:color w:val="000000"/>
                <w:sz w:val="28"/>
                <w:szCs w:val="28"/>
                <w:lang w:eastAsia="zh-CN"/>
              </w:rPr>
              <w:t>安排情况</w:t>
            </w:r>
          </w:p>
        </w:tc>
        <w:tc>
          <w:tcPr>
            <w:tcW w:w="1838" w:type="dxa"/>
            <w:noWrap w:val="0"/>
            <w:vAlign w:val="center"/>
          </w:tcPr>
          <w:p>
            <w:pPr>
              <w:spacing w:line="572"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设置地点及通讯地址</w:t>
            </w:r>
          </w:p>
        </w:tc>
        <w:tc>
          <w:tcPr>
            <w:tcW w:w="4949" w:type="dxa"/>
            <w:noWrap w:val="0"/>
            <w:vAlign w:val="center"/>
          </w:tcPr>
          <w:p>
            <w:pPr>
              <w:spacing w:line="572" w:lineRule="exact"/>
              <w:ind w:firstLine="640"/>
              <w:jc w:val="center"/>
              <w:rPr>
                <w:rFonts w:hint="eastAsia" w:ascii="仿宋_GB2312" w:hAnsi="仿宋_GB2312" w:eastAsia="仿宋_GB2312" w:cs="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14" w:hRule="atLeast"/>
        </w:trPr>
        <w:tc>
          <w:tcPr>
            <w:tcW w:w="1793" w:type="dxa"/>
            <w:vMerge w:val="continue"/>
            <w:noWrap w:val="0"/>
            <w:vAlign w:val="center"/>
          </w:tcPr>
          <w:p>
            <w:pPr>
              <w:ind w:firstLine="640"/>
              <w:jc w:val="center"/>
              <w:rPr>
                <w:rFonts w:hint="eastAsia" w:ascii="仿宋_GB2312" w:hAnsi="仿宋_GB2312" w:eastAsia="仿宋_GB2312" w:cs="仿宋_GB2312"/>
                <w:color w:val="000000"/>
                <w:sz w:val="28"/>
                <w:szCs w:val="28"/>
              </w:rPr>
            </w:pPr>
          </w:p>
        </w:tc>
        <w:tc>
          <w:tcPr>
            <w:tcW w:w="1838" w:type="dxa"/>
            <w:noWrap w:val="0"/>
            <w:vAlign w:val="center"/>
          </w:tcPr>
          <w:p>
            <w:pPr>
              <w:spacing w:line="572"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负责人</w:t>
            </w:r>
          </w:p>
        </w:tc>
        <w:tc>
          <w:tcPr>
            <w:tcW w:w="4949" w:type="dxa"/>
            <w:noWrap w:val="0"/>
            <w:vAlign w:val="center"/>
          </w:tcPr>
          <w:p>
            <w:pPr>
              <w:spacing w:line="572" w:lineRule="exact"/>
              <w:ind w:firstLine="640"/>
              <w:jc w:val="center"/>
              <w:rPr>
                <w:rFonts w:hint="eastAsia" w:ascii="仿宋_GB2312" w:hAnsi="仿宋_GB2312" w:eastAsia="仿宋_GB2312" w:cs="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170" w:hRule="atLeast"/>
        </w:trPr>
        <w:tc>
          <w:tcPr>
            <w:tcW w:w="1793" w:type="dxa"/>
            <w:vMerge w:val="continue"/>
            <w:noWrap w:val="0"/>
            <w:vAlign w:val="center"/>
          </w:tcPr>
          <w:p>
            <w:pPr>
              <w:ind w:firstLine="640"/>
              <w:jc w:val="center"/>
              <w:rPr>
                <w:rFonts w:hint="eastAsia" w:ascii="仿宋_GB2312" w:hAnsi="仿宋_GB2312" w:eastAsia="仿宋_GB2312" w:cs="仿宋_GB2312"/>
                <w:color w:val="000000"/>
                <w:sz w:val="28"/>
                <w:szCs w:val="28"/>
              </w:rPr>
            </w:pPr>
          </w:p>
        </w:tc>
        <w:tc>
          <w:tcPr>
            <w:tcW w:w="1838" w:type="dxa"/>
            <w:noWrap w:val="0"/>
            <w:vAlign w:val="center"/>
          </w:tcPr>
          <w:p>
            <w:pPr>
              <w:spacing w:line="572"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联系电话</w:t>
            </w:r>
          </w:p>
        </w:tc>
        <w:tc>
          <w:tcPr>
            <w:tcW w:w="4949" w:type="dxa"/>
            <w:noWrap w:val="0"/>
            <w:vAlign w:val="center"/>
          </w:tcPr>
          <w:p>
            <w:pPr>
              <w:spacing w:line="572" w:lineRule="exact"/>
              <w:ind w:firstLine="640"/>
              <w:jc w:val="center"/>
              <w:rPr>
                <w:rFonts w:hint="eastAsia" w:ascii="仿宋_GB2312" w:hAnsi="仿宋_GB2312" w:eastAsia="仿宋_GB2312" w:cs="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264" w:hRule="atLeast"/>
        </w:trPr>
        <w:tc>
          <w:tcPr>
            <w:tcW w:w="1793" w:type="dxa"/>
            <w:vMerge w:val="continue"/>
            <w:noWrap w:val="0"/>
            <w:vAlign w:val="center"/>
          </w:tcPr>
          <w:p>
            <w:pPr>
              <w:ind w:firstLine="640"/>
              <w:jc w:val="center"/>
              <w:rPr>
                <w:rFonts w:hint="eastAsia" w:ascii="仿宋_GB2312" w:hAnsi="仿宋_GB2312" w:eastAsia="仿宋_GB2312" w:cs="仿宋_GB2312"/>
                <w:color w:val="000000"/>
                <w:sz w:val="28"/>
                <w:szCs w:val="28"/>
              </w:rPr>
            </w:pPr>
          </w:p>
        </w:tc>
        <w:tc>
          <w:tcPr>
            <w:tcW w:w="1838" w:type="dxa"/>
            <w:noWrap w:val="0"/>
            <w:vAlign w:val="center"/>
          </w:tcPr>
          <w:p>
            <w:pPr>
              <w:spacing w:line="572"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配备电脑及管理人员、</w:t>
            </w:r>
          </w:p>
          <w:p>
            <w:pPr>
              <w:spacing w:line="572"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技术保障人员数量</w:t>
            </w:r>
          </w:p>
        </w:tc>
        <w:tc>
          <w:tcPr>
            <w:tcW w:w="4949" w:type="dxa"/>
            <w:noWrap w:val="0"/>
            <w:vAlign w:val="center"/>
          </w:tcPr>
          <w:p>
            <w:pPr>
              <w:spacing w:line="572" w:lineRule="exact"/>
              <w:ind w:firstLine="640"/>
              <w:jc w:val="center"/>
              <w:rPr>
                <w:rFonts w:hint="eastAsia" w:ascii="仿宋_GB2312" w:hAnsi="仿宋_GB2312" w:eastAsia="仿宋_GB2312" w:cs="仿宋_GB2312"/>
                <w:color w:val="000000"/>
                <w:sz w:val="28"/>
                <w:szCs w:val="28"/>
              </w:rPr>
            </w:pPr>
          </w:p>
          <w:p>
            <w:pPr>
              <w:spacing w:line="572" w:lineRule="exact"/>
              <w:ind w:firstLine="640"/>
              <w:jc w:val="center"/>
              <w:rPr>
                <w:rFonts w:hint="eastAsia" w:ascii="仿宋_GB2312" w:hAnsi="仿宋_GB2312" w:eastAsia="仿宋_GB2312" w:cs="仿宋_GB2312"/>
                <w:color w:val="000000"/>
                <w:sz w:val="28"/>
                <w:szCs w:val="28"/>
              </w:rPr>
            </w:pPr>
          </w:p>
          <w:p>
            <w:pPr>
              <w:spacing w:line="572" w:lineRule="exact"/>
              <w:ind w:firstLine="640"/>
              <w:jc w:val="center"/>
              <w:rPr>
                <w:rFonts w:hint="eastAsia" w:ascii="仿宋_GB2312" w:hAnsi="仿宋_GB2312" w:eastAsia="仿宋_GB2312" w:cs="仿宋_GB2312"/>
                <w:color w:val="000000"/>
                <w:sz w:val="28"/>
                <w:szCs w:val="28"/>
              </w:rPr>
            </w:pPr>
          </w:p>
        </w:tc>
      </w:tr>
    </w:tbl>
    <w:p>
      <w:pPr>
        <w:spacing w:line="400" w:lineRule="exact"/>
        <w:ind w:left="1262" w:leftChars="90" w:hanging="1073" w:hangingChars="509"/>
        <w:rPr>
          <w:rFonts w:hint="eastAsia" w:ascii="仿宋_GB2312" w:hAnsi="仿宋_GB2312" w:eastAsia="仿宋_GB2312" w:cs="仿宋_GB2312"/>
          <w:color w:val="000000"/>
          <w:szCs w:val="21"/>
        </w:rPr>
      </w:pPr>
      <w:r>
        <w:rPr>
          <w:rFonts w:hint="eastAsia" w:ascii="仿宋_GB2312" w:hAnsi="仿宋_GB2312" w:eastAsia="仿宋_GB2312" w:cs="仿宋_GB2312"/>
          <w:b/>
          <w:color w:val="000000"/>
          <w:szCs w:val="21"/>
        </w:rPr>
        <w:t>填报说明：</w:t>
      </w:r>
      <w:r>
        <w:rPr>
          <w:rFonts w:hint="eastAsia" w:ascii="仿宋_GB2312" w:hAnsi="仿宋_GB2312" w:eastAsia="仿宋_GB2312" w:cs="仿宋_GB2312"/>
          <w:color w:val="000000"/>
          <w:szCs w:val="21"/>
        </w:rPr>
        <w:t>请各地将相关信息填写完整并加盖教育行政部门公章，于6月25日前报送省教育招生考试院信息处，联系电话：0971—6321101，传真：0971-6321103。</w:t>
      </w:r>
    </w:p>
    <w:p>
      <w:pPr>
        <w:spacing w:line="300" w:lineRule="exact"/>
        <w:ind w:right="-193" w:rightChars="-9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altName w:val="Arial Unicode MS"/>
    <w:panose1 w:val="02010609060101010101"/>
    <w:charset w:val="86"/>
    <w:family w:val="auto"/>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BCB9EB"/>
    <w:multiLevelType w:val="singleLevel"/>
    <w:tmpl w:val="30BCB9E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D666B5"/>
    <w:rsid w:val="14F17D4C"/>
    <w:rsid w:val="2CC04E27"/>
    <w:rsid w:val="3E0D2566"/>
    <w:rsid w:val="518A1259"/>
    <w:rsid w:val="6B1B3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kern w:val="36"/>
      <w:sz w:val="24"/>
      <w:szCs w:val="2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2023-06-19T03:20:39Z</dcterms:created>
  <dc:creator>Administrator</dc:creator>
  <cp:lastModifiedBy>Administrator</cp:lastModifiedBy>
  <dcterms:modified xsi:type="dcterms:W3CDTF">2023-06-19T03:25:15Z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